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16C1E37" w14:textId="77777777" w:rsidR="00152AD3" w:rsidRPr="007634E3" w:rsidRDefault="00000000">
      <w:pPr>
        <w:pStyle w:val="Heading1"/>
        <w:spacing w:before="120" w:after="120"/>
        <w:rPr>
          <w:lang w:val="fr-FR"/>
        </w:rPr>
      </w:pPr>
      <w:r w:rsidRPr="007634E3">
        <w:rPr>
          <w:b/>
          <w:bCs/>
          <w:sz w:val="30"/>
          <w:szCs w:val="30"/>
          <w:lang w:val="fr-FR"/>
        </w:rPr>
        <w:t xml:space="preserve">L'information brevets, composante à part entière de l'écosystème </w:t>
      </w:r>
      <w:proofErr w:type="spellStart"/>
      <w:r w:rsidRPr="007634E3">
        <w:rPr>
          <w:b/>
          <w:bCs/>
          <w:sz w:val="30"/>
          <w:szCs w:val="30"/>
          <w:lang w:val="fr-FR"/>
        </w:rPr>
        <w:t>deeptech</w:t>
      </w:r>
      <w:proofErr w:type="spellEnd"/>
    </w:p>
    <w:p w14:paraId="2BCFC673" w14:textId="77777777" w:rsidR="00152AD3" w:rsidRPr="007634E3" w:rsidRDefault="00000000">
      <w:pPr>
        <w:spacing w:after="240"/>
        <w:rPr>
          <w:lang w:val="fr-FR"/>
        </w:rPr>
      </w:pPr>
      <w:r w:rsidRPr="007634E3">
        <w:rPr>
          <w:i/>
          <w:iCs/>
          <w:color w:val="595959"/>
          <w:sz w:val="24"/>
          <w:szCs w:val="24"/>
          <w:lang w:val="fr-FR"/>
        </w:rPr>
        <w:t>Retour sur le SPRING Paris-Saclay 2026</w:t>
      </w:r>
    </w:p>
    <w:p w14:paraId="5CFCF288" w14:textId="134CD385" w:rsidR="00152AD3" w:rsidRPr="007634E3" w:rsidRDefault="00000000">
      <w:pPr>
        <w:spacing w:after="160" w:line="276" w:lineRule="auto"/>
        <w:jc w:val="both"/>
        <w:rPr>
          <w:lang w:val="fr-FR"/>
        </w:rPr>
      </w:pPr>
      <w:r w:rsidRPr="007634E3">
        <w:rPr>
          <w:lang w:val="fr-FR"/>
        </w:rPr>
        <w:t xml:space="preserve">Le 2 juin dernier s'est tenu, au Technocentre Renault Group de Guyancourt, le Paris-Saclay SPRING — le rendez-vous annuel de l'écosystème </w:t>
      </w:r>
      <w:proofErr w:type="spellStart"/>
      <w:r w:rsidRPr="007634E3">
        <w:rPr>
          <w:lang w:val="fr-FR"/>
        </w:rPr>
        <w:t>deeptech</w:t>
      </w:r>
      <w:proofErr w:type="spellEnd"/>
      <w:r w:rsidRPr="007634E3">
        <w:rPr>
          <w:lang w:val="fr-FR"/>
        </w:rPr>
        <w:t xml:space="preserve"> du cluster Paris-Saclay. Organisé par l'Établissement Public d'Aménagement Paris-Saclay, l'événement réunit chaque année startups, laboratoires, grands groupes industriels, financeurs et structures d'accompagnement autour d'un format dense : pitchs de startups, conférences, rendez-vous B2B et networking. Avec plus de </w:t>
      </w:r>
      <w:r w:rsidR="009B71D7" w:rsidRPr="007634E3">
        <w:rPr>
          <w:lang w:val="fr-FR"/>
        </w:rPr>
        <w:t>1</w:t>
      </w:r>
      <w:r w:rsidR="009B71D7">
        <w:rPr>
          <w:lang w:val="fr-FR"/>
        </w:rPr>
        <w:t xml:space="preserve">300 </w:t>
      </w:r>
      <w:r w:rsidR="009B71D7" w:rsidRPr="007634E3">
        <w:rPr>
          <w:lang w:val="fr-FR"/>
        </w:rPr>
        <w:t>participantes</w:t>
      </w:r>
      <w:r w:rsidRPr="007634E3">
        <w:rPr>
          <w:lang w:val="fr-FR"/>
        </w:rPr>
        <w:t xml:space="preserve">, il constitue l'un des points de rencontre majeurs de la </w:t>
      </w:r>
      <w:proofErr w:type="spellStart"/>
      <w:r w:rsidRPr="007634E3">
        <w:rPr>
          <w:lang w:val="fr-FR"/>
        </w:rPr>
        <w:t>deeptech</w:t>
      </w:r>
      <w:proofErr w:type="spellEnd"/>
      <w:r w:rsidRPr="007634E3">
        <w:rPr>
          <w:lang w:val="fr-FR"/>
        </w:rPr>
        <w:t xml:space="preserve">, à l'échelle française comme européenne. L'édition 2026 mettait à l'honneur les « SPRING 120 », cent vingt acteurs clés sélectionnés à travers quatre filières — </w:t>
      </w:r>
      <w:proofErr w:type="spellStart"/>
      <w:r w:rsidRPr="007634E3">
        <w:rPr>
          <w:lang w:val="fr-FR"/>
        </w:rPr>
        <w:t>Greentech</w:t>
      </w:r>
      <w:proofErr w:type="spellEnd"/>
      <w:r w:rsidRPr="007634E3">
        <w:rPr>
          <w:lang w:val="fr-FR"/>
        </w:rPr>
        <w:t xml:space="preserve"> &amp; Food, Health-Biotech, </w:t>
      </w:r>
      <w:proofErr w:type="spellStart"/>
      <w:r w:rsidRPr="007634E3">
        <w:rPr>
          <w:lang w:val="fr-FR"/>
        </w:rPr>
        <w:t>Industry</w:t>
      </w:r>
      <w:proofErr w:type="spellEnd"/>
      <w:r w:rsidRPr="007634E3">
        <w:rPr>
          <w:lang w:val="fr-FR"/>
        </w:rPr>
        <w:t xml:space="preserve"> &amp; Services et Digital Technologies — avec, en toile de fond, un fil conducteur révélateur de l'époque : innovation, compétitivité et souveraineté technologique.</w:t>
      </w:r>
    </w:p>
    <w:p w14:paraId="6EF13F0E" w14:textId="7EAFFA9D" w:rsidR="00152AD3" w:rsidRPr="007634E3" w:rsidRDefault="00000000">
      <w:pPr>
        <w:spacing w:after="160" w:line="276" w:lineRule="auto"/>
        <w:jc w:val="both"/>
        <w:rPr>
          <w:lang w:val="fr-FR"/>
        </w:rPr>
      </w:pPr>
      <w:r w:rsidRPr="007634E3">
        <w:rPr>
          <w:lang w:val="fr-FR"/>
        </w:rPr>
        <w:t>Au-delà des projets technologiques eux-mêmes, ce qui frappe lorsqu'on parcourt le catalogue de l'événement c'est la présence, discrète mais réelle, des métiers de la propriété intellectuelle et de l'information brevets. Un constat qui mérite d'être souligné auprès de notre communauté : l'information brevets n'est pas un service périphérique de l'innovation, mais bien une composante de son écosystème, au même titre que le financement, l'industrialisation ou l'accompagnement.</w:t>
      </w:r>
    </w:p>
    <w:p w14:paraId="380CF6F8" w14:textId="77777777" w:rsidR="00152AD3" w:rsidRPr="007634E3" w:rsidRDefault="00000000">
      <w:pPr>
        <w:pStyle w:val="Heading2"/>
        <w:spacing w:before="240" w:after="100"/>
        <w:rPr>
          <w:lang w:val="fr-FR"/>
        </w:rPr>
      </w:pPr>
      <w:r w:rsidRPr="007634E3">
        <w:rPr>
          <w:b/>
          <w:bCs/>
          <w:sz w:val="24"/>
          <w:szCs w:val="24"/>
          <w:lang w:val="fr-FR"/>
        </w:rPr>
        <w:t>Une diversité de profils au service de l'innovation</w:t>
      </w:r>
    </w:p>
    <w:p w14:paraId="646B5DBC" w14:textId="77777777" w:rsidR="00152AD3" w:rsidRPr="007634E3" w:rsidRDefault="00000000">
      <w:pPr>
        <w:spacing w:after="160" w:line="276" w:lineRule="auto"/>
        <w:jc w:val="both"/>
        <w:rPr>
          <w:lang w:val="fr-FR"/>
        </w:rPr>
      </w:pPr>
      <w:r w:rsidRPr="007634E3">
        <w:rPr>
          <w:lang w:val="fr-FR"/>
        </w:rPr>
        <w:t xml:space="preserve">Le catalogue recense en effet plusieurs familles d'acteurs. Les cabinets de conseil en propriété industrielle d'abord — Santarelli, </w:t>
      </w:r>
      <w:proofErr w:type="spellStart"/>
      <w:r w:rsidRPr="007634E3">
        <w:rPr>
          <w:lang w:val="fr-FR"/>
        </w:rPr>
        <w:t>Lavoix</w:t>
      </w:r>
      <w:proofErr w:type="spellEnd"/>
      <w:r w:rsidRPr="007634E3">
        <w:rPr>
          <w:lang w:val="fr-FR"/>
        </w:rPr>
        <w:t xml:space="preserve">, IPSILON, YESMYPATENT, Groupe </w:t>
      </w:r>
      <w:proofErr w:type="spellStart"/>
      <w:r w:rsidRPr="007634E3">
        <w:rPr>
          <w:lang w:val="fr-FR"/>
        </w:rPr>
        <w:t>Vidon</w:t>
      </w:r>
      <w:proofErr w:type="spellEnd"/>
      <w:r w:rsidRPr="007634E3">
        <w:rPr>
          <w:lang w:val="fr-FR"/>
        </w:rPr>
        <w:t>, IP Trust, ou encore le Cabinet Anthony Berton — qui combinent expertise juridique, stratégie de protection et accompagnement des déposants. Les acteurs institutionnels ensuite : l'INPI, présent en tant qu'interlocuteur de référence sur la propriété industrielle ; la SATT Paris-Saclay et CNRS Innovation, dont la mission de valorisation et de transfert technologique place naturellement la donnée brevet au cœur de leur activité. Enfin, des prestataires spécialisés en information et analyse brevets, dont le métier — veille technologique, état de l'art, cartographie brevet, analyse de liberté d'exploitation — constitue souvent un trait d'union entre la recherche, les déposants et les décideurs.</w:t>
      </w:r>
    </w:p>
    <w:p w14:paraId="05F7E6BE" w14:textId="77777777" w:rsidR="00152AD3" w:rsidRPr="007634E3" w:rsidRDefault="00000000">
      <w:pPr>
        <w:spacing w:after="160" w:line="276" w:lineRule="auto"/>
        <w:jc w:val="both"/>
        <w:rPr>
          <w:lang w:val="fr-FR"/>
        </w:rPr>
      </w:pPr>
      <w:r w:rsidRPr="007634E3">
        <w:rPr>
          <w:lang w:val="fr-FR"/>
        </w:rPr>
        <w:t>Cette pluralité est en soi un signal. Elle montre que les besoins en information brevets se déclinent selon des logiques et des points d'entrée variés au sein d'un même écosystème, et que les profils qui y répondent sont complémentaires plus que concurrents.</w:t>
      </w:r>
    </w:p>
    <w:p w14:paraId="641451E9" w14:textId="7DBAFC13" w:rsidR="00152AD3" w:rsidRPr="007634E3" w:rsidRDefault="00000000" w:rsidP="00120E2B">
      <w:pPr>
        <w:spacing w:after="160" w:line="276" w:lineRule="auto"/>
        <w:jc w:val="both"/>
        <w:rPr>
          <w:lang w:val="fr-FR"/>
        </w:rPr>
      </w:pPr>
      <w:r w:rsidRPr="007634E3">
        <w:rPr>
          <w:lang w:val="fr-FR"/>
        </w:rPr>
        <w:t xml:space="preserve">Parmi ces profils, celui du prestataire indépendant spécialisé en information brevets se structure autour d'acteurs positionnés sur des domaines techniques précis. </w:t>
      </w:r>
      <w:proofErr w:type="spellStart"/>
      <w:r w:rsidRPr="007634E3">
        <w:rPr>
          <w:lang w:val="fr-FR"/>
        </w:rPr>
        <w:t>TechnoGenesis</w:t>
      </w:r>
      <w:proofErr w:type="spellEnd"/>
      <w:r w:rsidRPr="007634E3">
        <w:rPr>
          <w:lang w:val="fr-FR"/>
        </w:rPr>
        <w:t xml:space="preserve">, par exemple, intervient sur la </w:t>
      </w:r>
      <w:proofErr w:type="spellStart"/>
      <w:r w:rsidRPr="007634E3">
        <w:rPr>
          <w:lang w:val="fr-FR"/>
        </w:rPr>
        <w:t>deeptech</w:t>
      </w:r>
      <w:proofErr w:type="spellEnd"/>
      <w:r w:rsidRPr="007634E3">
        <w:rPr>
          <w:lang w:val="fr-FR"/>
        </w:rPr>
        <w:t xml:space="preserve"> — photonique, physique quantique, matériaux avancés — avec une approche d'analyse brevet adossée à une expertise scientifique. </w:t>
      </w:r>
      <w:proofErr w:type="spellStart"/>
      <w:r w:rsidRPr="007634E3">
        <w:rPr>
          <w:lang w:val="fr-FR"/>
        </w:rPr>
        <w:t>StartingBloch</w:t>
      </w:r>
      <w:proofErr w:type="spellEnd"/>
      <w:r w:rsidRPr="007634E3">
        <w:rPr>
          <w:lang w:val="fr-FR"/>
        </w:rPr>
        <w:t xml:space="preserve">, de son côté, accompagne les acteurs de l'innovation dans le domaine des </w:t>
      </w:r>
      <w:r w:rsidR="00040D53">
        <w:rPr>
          <w:lang w:val="fr-FR"/>
        </w:rPr>
        <w:t>sciences de la vie</w:t>
      </w:r>
      <w:r w:rsidRPr="007634E3">
        <w:rPr>
          <w:lang w:val="fr-FR"/>
        </w:rPr>
        <w:t>.</w:t>
      </w:r>
      <w:r w:rsidR="00120E2B">
        <w:rPr>
          <w:lang w:val="fr-FR"/>
        </w:rPr>
        <w:t xml:space="preserve"> </w:t>
      </w:r>
    </w:p>
    <w:p w14:paraId="7A974F27" w14:textId="77777777" w:rsidR="00152AD3" w:rsidRPr="007634E3" w:rsidRDefault="00000000">
      <w:pPr>
        <w:spacing w:after="160" w:line="276" w:lineRule="auto"/>
        <w:jc w:val="both"/>
        <w:rPr>
          <w:lang w:val="fr-FR"/>
        </w:rPr>
      </w:pPr>
      <w:r w:rsidRPr="007634E3">
        <w:rPr>
          <w:lang w:val="fr-FR"/>
        </w:rPr>
        <w:t>Deux structures, deux domaines, mais une même conviction : l'information brevets gagne à être pensée au plus près des spécificités techniques de chaque filière.</w:t>
      </w:r>
    </w:p>
    <w:p w14:paraId="19C48082" w14:textId="0E814BC4" w:rsidR="00152AD3" w:rsidRPr="006B216A" w:rsidRDefault="00000000">
      <w:pPr>
        <w:spacing w:after="160" w:line="276" w:lineRule="auto"/>
        <w:jc w:val="both"/>
        <w:rPr>
          <w:color w:val="000000" w:themeColor="text1"/>
          <w:lang w:val="fr-FR"/>
        </w:rPr>
      </w:pPr>
      <w:r w:rsidRPr="007634E3">
        <w:rPr>
          <w:lang w:val="fr-FR"/>
        </w:rPr>
        <w:t xml:space="preserve">Dans le domaine de l'optoélectronique et de la photonique, bien représenté à Saclay, ce constat est particulièrement net. Plusieurs acteurs de premier plan y étaient présents : HORIBA, spécialiste de l'instrumentation scientifique et de la spectroscopie ; le III-V </w:t>
      </w:r>
      <w:proofErr w:type="spellStart"/>
      <w:r w:rsidRPr="007634E3">
        <w:rPr>
          <w:lang w:val="fr-FR"/>
        </w:rPr>
        <w:t>Lab</w:t>
      </w:r>
      <w:proofErr w:type="spellEnd"/>
      <w:r w:rsidRPr="007634E3">
        <w:rPr>
          <w:lang w:val="fr-FR"/>
        </w:rPr>
        <w:t xml:space="preserve">, laboratoire de recherche commun dédié aux composants à semi-conducteurs III-V ; l'Institut Photovoltaïque d'Île-de-France (IPVF), qui développe les technologies photovoltaïques de nouvelle génération ; ou encore 3D PLUS, concepteur de composants </w:t>
      </w:r>
      <w:r w:rsidRPr="007634E3">
        <w:rPr>
          <w:lang w:val="fr-FR"/>
        </w:rPr>
        <w:lastRenderedPageBreak/>
        <w:t>électroniques miniaturisés pour le spatial. Dans des domaines aussi denses en brevets, où la frontière entre l'état de l'art académique et l'innovation industrielle se déplace en permanence, la veille technologique et l'analyse brevet ne sont pas un luxe : elles conditionnent les choix de R&amp;D, les décisions d'investissement et les stratégies de protection. C'est précisément à cette intersection que se situe le travail de l'expert en information brevets</w:t>
      </w:r>
      <w:r w:rsidR="000542A1">
        <w:rPr>
          <w:lang w:val="fr-FR"/>
        </w:rPr>
        <w:t xml:space="preserve"> </w:t>
      </w:r>
      <w:r w:rsidR="000542A1" w:rsidRPr="006B216A">
        <w:rPr>
          <w:color w:val="000000" w:themeColor="text1"/>
          <w:lang w:val="fr-FR"/>
        </w:rPr>
        <w:t>et le même raisonnement vaut pour</w:t>
      </w:r>
      <w:r w:rsidR="00475E6A" w:rsidRPr="006B216A">
        <w:rPr>
          <w:color w:val="000000" w:themeColor="text1"/>
          <w:lang w:val="fr-FR"/>
        </w:rPr>
        <w:t xml:space="preserve"> la science de la vie </w:t>
      </w:r>
      <w:r w:rsidR="000542A1" w:rsidRPr="006B216A">
        <w:rPr>
          <w:color w:val="000000" w:themeColor="text1"/>
          <w:lang w:val="fr-FR"/>
        </w:rPr>
        <w:t>ou toute autre filière à forte intensité de brevets</w:t>
      </w:r>
      <w:r w:rsidR="006B216A">
        <w:rPr>
          <w:color w:val="000000" w:themeColor="text1"/>
          <w:lang w:val="fr-FR"/>
        </w:rPr>
        <w:t>.</w:t>
      </w:r>
    </w:p>
    <w:p w14:paraId="0D0FE310" w14:textId="77777777" w:rsidR="00152AD3" w:rsidRPr="007634E3" w:rsidRDefault="00000000">
      <w:pPr>
        <w:spacing w:after="160" w:line="276" w:lineRule="auto"/>
        <w:jc w:val="both"/>
        <w:rPr>
          <w:lang w:val="fr-FR"/>
        </w:rPr>
      </w:pPr>
      <w:r w:rsidRPr="007634E3">
        <w:rPr>
          <w:lang w:val="fr-FR"/>
        </w:rPr>
        <w:t xml:space="preserve">Au final, le SPRING Paris-Saclay rappelle une évidence parfois sous-estimée : l'information brevets fait partie intégrante de la chaîne de l'innovation </w:t>
      </w:r>
      <w:proofErr w:type="spellStart"/>
      <w:r w:rsidRPr="007634E3">
        <w:rPr>
          <w:lang w:val="fr-FR"/>
        </w:rPr>
        <w:t>deeptech</w:t>
      </w:r>
      <w:proofErr w:type="spellEnd"/>
      <w:r w:rsidRPr="007634E3">
        <w:rPr>
          <w:lang w:val="fr-FR"/>
        </w:rPr>
        <w:t>. Là où se rencontrent chercheurs, industriels et investisseurs, la donnée brevet circule, éclaire les décisions et crée du lien. Pour notre communauté — celle du CFIB et plus largement des professionnels francophones de l'information brevet — ces événements sont autant d'occasions de rappeler, et de rendre visible, la contribution de notre métier à l'innovation.</w:t>
      </w:r>
    </w:p>
    <w:p w14:paraId="358692D6" w14:textId="77777777" w:rsidR="00152AD3" w:rsidRDefault="00000000">
      <w:pPr>
        <w:spacing w:before="240"/>
      </w:pPr>
      <w:proofErr w:type="spellStart"/>
      <w:r>
        <w:rPr>
          <w:i/>
          <w:iCs/>
        </w:rPr>
        <w:t>Meletis</w:t>
      </w:r>
      <w:proofErr w:type="spellEnd"/>
      <w:r>
        <w:rPr>
          <w:i/>
          <w:iCs/>
        </w:rPr>
        <w:t xml:space="preserve"> Mexis, </w:t>
      </w:r>
      <w:proofErr w:type="spellStart"/>
      <w:r>
        <w:rPr>
          <w:i/>
          <w:iCs/>
        </w:rPr>
        <w:t>TechnoGenesis</w:t>
      </w:r>
      <w:proofErr w:type="spellEnd"/>
    </w:p>
    <w:p w14:paraId="06BBF429" w14:textId="11446A2F" w:rsidR="00152AD3" w:rsidRPr="007932A3" w:rsidRDefault="00152AD3">
      <w:pPr>
        <w:spacing w:before="40"/>
        <w:rPr>
          <w:color w:val="000000" w:themeColor="text1"/>
        </w:rPr>
      </w:pPr>
    </w:p>
    <w:sectPr w:rsidR="00152AD3" w:rsidRPr="007932A3">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0397799"/>
    <w:multiLevelType w:val="hybridMultilevel"/>
    <w:tmpl w:val="C36C9616"/>
    <w:lvl w:ilvl="0" w:tplc="3322F0B8">
      <w:start w:val="1"/>
      <w:numFmt w:val="bullet"/>
      <w:lvlText w:val="●"/>
      <w:lvlJc w:val="left"/>
      <w:pPr>
        <w:ind w:left="720" w:hanging="360"/>
      </w:pPr>
    </w:lvl>
    <w:lvl w:ilvl="1" w:tplc="5E5E9746">
      <w:start w:val="1"/>
      <w:numFmt w:val="bullet"/>
      <w:lvlText w:val="○"/>
      <w:lvlJc w:val="left"/>
      <w:pPr>
        <w:ind w:left="1440" w:hanging="360"/>
      </w:pPr>
    </w:lvl>
    <w:lvl w:ilvl="2" w:tplc="D444BB86">
      <w:start w:val="1"/>
      <w:numFmt w:val="bullet"/>
      <w:lvlText w:val="■"/>
      <w:lvlJc w:val="left"/>
      <w:pPr>
        <w:ind w:left="2160" w:hanging="360"/>
      </w:pPr>
    </w:lvl>
    <w:lvl w:ilvl="3" w:tplc="BB42533A">
      <w:start w:val="1"/>
      <w:numFmt w:val="bullet"/>
      <w:lvlText w:val="●"/>
      <w:lvlJc w:val="left"/>
      <w:pPr>
        <w:ind w:left="2880" w:hanging="360"/>
      </w:pPr>
    </w:lvl>
    <w:lvl w:ilvl="4" w:tplc="532C261C">
      <w:start w:val="1"/>
      <w:numFmt w:val="bullet"/>
      <w:lvlText w:val="○"/>
      <w:lvlJc w:val="left"/>
      <w:pPr>
        <w:ind w:left="3600" w:hanging="360"/>
      </w:pPr>
    </w:lvl>
    <w:lvl w:ilvl="5" w:tplc="8E106CC8">
      <w:start w:val="1"/>
      <w:numFmt w:val="bullet"/>
      <w:lvlText w:val="■"/>
      <w:lvlJc w:val="left"/>
      <w:pPr>
        <w:ind w:left="4320" w:hanging="360"/>
      </w:pPr>
    </w:lvl>
    <w:lvl w:ilvl="6" w:tplc="9CF054BE">
      <w:start w:val="1"/>
      <w:numFmt w:val="bullet"/>
      <w:lvlText w:val="●"/>
      <w:lvlJc w:val="left"/>
      <w:pPr>
        <w:ind w:left="5040" w:hanging="360"/>
      </w:pPr>
    </w:lvl>
    <w:lvl w:ilvl="7" w:tplc="779C298E">
      <w:start w:val="1"/>
      <w:numFmt w:val="bullet"/>
      <w:lvlText w:val="●"/>
      <w:lvlJc w:val="left"/>
      <w:pPr>
        <w:ind w:left="5760" w:hanging="360"/>
      </w:pPr>
    </w:lvl>
    <w:lvl w:ilvl="8" w:tplc="844E066A">
      <w:start w:val="1"/>
      <w:numFmt w:val="bullet"/>
      <w:lvlText w:val="●"/>
      <w:lvlJc w:val="left"/>
      <w:pPr>
        <w:ind w:left="6480" w:hanging="360"/>
      </w:pPr>
    </w:lvl>
  </w:abstractNum>
  <w:num w:numId="1" w16cid:durableId="1368792645">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D3"/>
    <w:rsid w:val="00002372"/>
    <w:rsid w:val="00040D53"/>
    <w:rsid w:val="000542A1"/>
    <w:rsid w:val="00120E2B"/>
    <w:rsid w:val="00152AD3"/>
    <w:rsid w:val="00277AF9"/>
    <w:rsid w:val="00283CB7"/>
    <w:rsid w:val="00332F87"/>
    <w:rsid w:val="00475E6A"/>
    <w:rsid w:val="00506DD7"/>
    <w:rsid w:val="005F211E"/>
    <w:rsid w:val="006B216A"/>
    <w:rsid w:val="0071785A"/>
    <w:rsid w:val="007634E3"/>
    <w:rsid w:val="007932A3"/>
    <w:rsid w:val="009B71D7"/>
    <w:rsid w:val="00E93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C8413"/>
  <w15:docId w15:val="{D9109FB7-6E9A-481F-A2D1-EB6C5E39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Tia William</cp:lastModifiedBy>
  <cp:revision>2</cp:revision>
  <dcterms:created xsi:type="dcterms:W3CDTF">2026-07-23T17:44:00Z</dcterms:created>
  <dcterms:modified xsi:type="dcterms:W3CDTF">2026-07-23T17:44:00Z</dcterms:modified>
</cp:coreProperties>
</file>